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48"/>
      </w:tblGrid>
      <w:tr w:rsidR="006D5275" w14:paraId="0249CD36" w14:textId="77777777" w:rsidTr="00975404">
        <w:tc>
          <w:tcPr>
            <w:tcW w:w="1668" w:type="dxa"/>
          </w:tcPr>
          <w:p w14:paraId="7BA34B46" w14:textId="38C2778B" w:rsidR="006D5275" w:rsidRDefault="006D5275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Name</w:t>
            </w:r>
          </w:p>
        </w:tc>
        <w:tc>
          <w:tcPr>
            <w:tcW w:w="6848" w:type="dxa"/>
          </w:tcPr>
          <w:p w14:paraId="428BA51B" w14:textId="77777777" w:rsidR="006D5275" w:rsidRDefault="006D5275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</w:p>
        </w:tc>
      </w:tr>
      <w:tr w:rsidR="006D5275" w14:paraId="2492BA4C" w14:textId="77777777" w:rsidTr="00975404">
        <w:tc>
          <w:tcPr>
            <w:tcW w:w="1668" w:type="dxa"/>
          </w:tcPr>
          <w:p w14:paraId="64524045" w14:textId="1770D94E" w:rsidR="006D5275" w:rsidRDefault="006D5275" w:rsidP="00DD2E8B">
            <w:pPr>
              <w:spacing w:line="480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Address</w:t>
            </w:r>
          </w:p>
        </w:tc>
        <w:tc>
          <w:tcPr>
            <w:tcW w:w="6848" w:type="dxa"/>
          </w:tcPr>
          <w:p w14:paraId="427884FD" w14:textId="77777777" w:rsidR="006D5275" w:rsidRDefault="006D5275" w:rsidP="00DD2E8B">
            <w:pPr>
              <w:spacing w:line="480" w:lineRule="auto"/>
              <w:rPr>
                <w:sz w:val="22"/>
                <w:szCs w:val="22"/>
                <w:u w:val="none"/>
              </w:rPr>
            </w:pPr>
          </w:p>
        </w:tc>
      </w:tr>
      <w:tr w:rsidR="006D5275" w14:paraId="0FFB793F" w14:textId="77777777" w:rsidTr="00975404">
        <w:tc>
          <w:tcPr>
            <w:tcW w:w="1668" w:type="dxa"/>
          </w:tcPr>
          <w:p w14:paraId="2C01CE07" w14:textId="1B1687AE" w:rsidR="006D5275" w:rsidRDefault="006D5275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Phone</w:t>
            </w:r>
          </w:p>
        </w:tc>
        <w:tc>
          <w:tcPr>
            <w:tcW w:w="6848" w:type="dxa"/>
          </w:tcPr>
          <w:p w14:paraId="5C49A2E8" w14:textId="77777777" w:rsidR="006D5275" w:rsidRDefault="006D5275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</w:p>
        </w:tc>
      </w:tr>
      <w:tr w:rsidR="006D5275" w14:paraId="42F47F3F" w14:textId="77777777" w:rsidTr="00975404">
        <w:tc>
          <w:tcPr>
            <w:tcW w:w="1668" w:type="dxa"/>
          </w:tcPr>
          <w:p w14:paraId="3D672CFF" w14:textId="1F3D0FB9" w:rsidR="006D5275" w:rsidRDefault="006D5275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Email</w:t>
            </w:r>
            <w:r w:rsidR="00975404">
              <w:rPr>
                <w:sz w:val="22"/>
                <w:szCs w:val="22"/>
                <w:u w:val="none"/>
              </w:rPr>
              <w:t xml:space="preserve"> (optional)</w:t>
            </w:r>
          </w:p>
        </w:tc>
        <w:tc>
          <w:tcPr>
            <w:tcW w:w="6848" w:type="dxa"/>
          </w:tcPr>
          <w:p w14:paraId="3A35F493" w14:textId="77777777" w:rsidR="006D5275" w:rsidRDefault="006D5275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</w:p>
        </w:tc>
      </w:tr>
      <w:tr w:rsidR="00975404" w14:paraId="553CDE41" w14:textId="77777777" w:rsidTr="00975404">
        <w:tc>
          <w:tcPr>
            <w:tcW w:w="1668" w:type="dxa"/>
          </w:tcPr>
          <w:p w14:paraId="421E790E" w14:textId="1B274FE3" w:rsidR="00975404" w:rsidRDefault="00975404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Date</w:t>
            </w:r>
          </w:p>
        </w:tc>
        <w:tc>
          <w:tcPr>
            <w:tcW w:w="6848" w:type="dxa"/>
          </w:tcPr>
          <w:p w14:paraId="2616D6D8" w14:textId="77777777" w:rsidR="00975404" w:rsidRDefault="00975404" w:rsidP="00975404">
            <w:pPr>
              <w:spacing w:line="276" w:lineRule="auto"/>
              <w:rPr>
                <w:sz w:val="22"/>
                <w:szCs w:val="22"/>
                <w:u w:val="none"/>
              </w:rPr>
            </w:pPr>
          </w:p>
        </w:tc>
      </w:tr>
    </w:tbl>
    <w:p w14:paraId="7A263A59" w14:textId="49F553CA" w:rsidR="0068449A" w:rsidRPr="00975404" w:rsidRDefault="0068449A" w:rsidP="00975404">
      <w:pPr>
        <w:spacing w:line="360" w:lineRule="auto"/>
        <w:rPr>
          <w:sz w:val="22"/>
          <w:szCs w:val="22"/>
          <w:u w:val="none"/>
        </w:rPr>
      </w:pPr>
      <w:r w:rsidRPr="006B29E5">
        <w:rPr>
          <w:sz w:val="22"/>
          <w:szCs w:val="22"/>
          <w:u w:val="none"/>
        </w:rPr>
        <w:tab/>
      </w:r>
      <w:r w:rsidRPr="006B29E5">
        <w:rPr>
          <w:sz w:val="22"/>
          <w:szCs w:val="22"/>
          <w:u w:val="none"/>
        </w:rPr>
        <w:tab/>
      </w:r>
    </w:p>
    <w:p w14:paraId="27995A00" w14:textId="77777777" w:rsidR="0068449A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proofErr w:type="spellStart"/>
      <w:r w:rsidRPr="006B29E5">
        <w:rPr>
          <w:rFonts w:ascii="Arial" w:hAnsi="Arial"/>
          <w:sz w:val="22"/>
          <w:szCs w:val="22"/>
          <w:u w:val="none"/>
        </w:rPr>
        <w:t>Mr</w:t>
      </w:r>
      <w:proofErr w:type="spellEnd"/>
      <w:r w:rsidRPr="006B29E5">
        <w:rPr>
          <w:rFonts w:ascii="Arial" w:hAnsi="Arial"/>
          <w:sz w:val="22"/>
          <w:szCs w:val="22"/>
          <w:u w:val="none"/>
        </w:rPr>
        <w:t xml:space="preserve"> Barry Smith, General Manager</w:t>
      </w:r>
    </w:p>
    <w:p w14:paraId="411E7A9B" w14:textId="77777777" w:rsidR="0068449A" w:rsidRPr="006B29E5" w:rsidRDefault="0068449A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Hunters Hill Council</w:t>
      </w:r>
    </w:p>
    <w:p w14:paraId="49526686" w14:textId="77777777" w:rsidR="00942E3E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Town Hall, Alexandra Street</w:t>
      </w:r>
    </w:p>
    <w:p w14:paraId="7933F0D4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HUNTERS HILL NSW 2110</w:t>
      </w:r>
    </w:p>
    <w:p w14:paraId="58AAE029" w14:textId="77777777" w:rsidR="0068449A" w:rsidRDefault="0068449A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4079E284" w14:textId="77777777" w:rsidR="00975404" w:rsidRPr="006B29E5" w:rsidRDefault="00975404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2E667B82" w14:textId="77777777" w:rsidR="00984EC1" w:rsidRPr="006B29E5" w:rsidRDefault="00984EC1" w:rsidP="00AD4F84">
      <w:pPr>
        <w:spacing w:line="276" w:lineRule="auto"/>
        <w:jc w:val="center"/>
        <w:rPr>
          <w:rFonts w:ascii="Arial" w:hAnsi="Arial"/>
          <w:b/>
          <w:sz w:val="22"/>
          <w:szCs w:val="22"/>
          <w:u w:val="none"/>
        </w:rPr>
      </w:pPr>
      <w:r w:rsidRPr="006B29E5">
        <w:rPr>
          <w:rFonts w:ascii="Arial" w:hAnsi="Arial"/>
          <w:b/>
          <w:sz w:val="22"/>
          <w:szCs w:val="22"/>
          <w:u w:val="none"/>
        </w:rPr>
        <w:t>Submission regarding Gladesville Shopping Village DA 2013-1036</w:t>
      </w:r>
    </w:p>
    <w:p w14:paraId="2C9CF24F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1C089080" w14:textId="77777777" w:rsidR="0068449A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 xml:space="preserve">Dear </w:t>
      </w:r>
      <w:proofErr w:type="spellStart"/>
      <w:r w:rsidRPr="006B29E5">
        <w:rPr>
          <w:rFonts w:ascii="Arial" w:hAnsi="Arial"/>
          <w:sz w:val="22"/>
          <w:szCs w:val="22"/>
          <w:u w:val="none"/>
        </w:rPr>
        <w:t>Mr</w:t>
      </w:r>
      <w:proofErr w:type="spellEnd"/>
      <w:r w:rsidRPr="006B29E5">
        <w:rPr>
          <w:rFonts w:ascii="Arial" w:hAnsi="Arial"/>
          <w:sz w:val="22"/>
          <w:szCs w:val="22"/>
          <w:u w:val="none"/>
        </w:rPr>
        <w:t xml:space="preserve"> Smith</w:t>
      </w:r>
      <w:r w:rsidR="0068449A" w:rsidRPr="006B29E5">
        <w:rPr>
          <w:rFonts w:ascii="Arial" w:hAnsi="Arial"/>
          <w:sz w:val="22"/>
          <w:szCs w:val="22"/>
          <w:u w:val="none"/>
        </w:rPr>
        <w:t>,</w:t>
      </w:r>
    </w:p>
    <w:p w14:paraId="0F9C4323" w14:textId="77777777" w:rsidR="0068449A" w:rsidRPr="006B29E5" w:rsidRDefault="0068449A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78C857E0" w14:textId="77777777" w:rsidR="0068449A" w:rsidRPr="006B29E5" w:rsidRDefault="0068449A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 xml:space="preserve">I am writing to </w:t>
      </w:r>
      <w:r w:rsidR="00984EC1" w:rsidRPr="006B29E5">
        <w:rPr>
          <w:rFonts w:ascii="Arial" w:hAnsi="Arial"/>
          <w:sz w:val="22"/>
          <w:szCs w:val="22"/>
          <w:u w:val="none"/>
        </w:rPr>
        <w:t>express my concerns about the proposed redevelopment of Gladesville Shopping Village</w:t>
      </w:r>
      <w:r w:rsidR="00ED31C6">
        <w:rPr>
          <w:rFonts w:ascii="Arial" w:hAnsi="Arial"/>
          <w:sz w:val="22"/>
          <w:szCs w:val="22"/>
          <w:u w:val="none"/>
        </w:rPr>
        <w:t xml:space="preserve"> providing excess financial returns for the developer</w:t>
      </w:r>
      <w:r w:rsidR="0028013A">
        <w:rPr>
          <w:rFonts w:ascii="Arial" w:hAnsi="Arial"/>
          <w:sz w:val="22"/>
          <w:szCs w:val="22"/>
          <w:u w:val="none"/>
        </w:rPr>
        <w:t>,</w:t>
      </w:r>
      <w:r w:rsidR="00ED31C6">
        <w:rPr>
          <w:rFonts w:ascii="Arial" w:hAnsi="Arial"/>
          <w:sz w:val="22"/>
          <w:szCs w:val="22"/>
          <w:u w:val="none"/>
        </w:rPr>
        <w:t xml:space="preserve"> </w:t>
      </w:r>
      <w:r w:rsidR="000F19B4">
        <w:rPr>
          <w:rFonts w:ascii="Arial" w:hAnsi="Arial"/>
          <w:sz w:val="22"/>
          <w:szCs w:val="22"/>
          <w:u w:val="none"/>
        </w:rPr>
        <w:t xml:space="preserve">while being </w:t>
      </w:r>
      <w:r w:rsidR="00ED31C6">
        <w:rPr>
          <w:rFonts w:ascii="Arial" w:hAnsi="Arial"/>
          <w:sz w:val="22"/>
          <w:szCs w:val="22"/>
          <w:u w:val="none"/>
        </w:rPr>
        <w:t>to the detriment of the wider community by sacrificing amenity.</w:t>
      </w:r>
    </w:p>
    <w:p w14:paraId="38E01520" w14:textId="77777777" w:rsidR="0068449A" w:rsidRPr="006B29E5" w:rsidRDefault="0068449A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07974412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</w:rPr>
      </w:pPr>
      <w:r w:rsidRPr="006B29E5">
        <w:rPr>
          <w:rFonts w:ascii="Arial" w:hAnsi="Arial"/>
          <w:sz w:val="22"/>
          <w:szCs w:val="22"/>
        </w:rPr>
        <w:t>Streetscape, Character, and Design</w:t>
      </w:r>
    </w:p>
    <w:p w14:paraId="511B190A" w14:textId="77777777" w:rsidR="00FB42F2" w:rsidRPr="006B29E5" w:rsidRDefault="00FB42F2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179C7ECF" w14:textId="77777777" w:rsidR="00D3058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 xml:space="preserve">The design </w:t>
      </w:r>
      <w:r w:rsidRPr="006B29E5">
        <w:rPr>
          <w:rFonts w:ascii="Arial" w:hAnsi="Arial" w:cs="Arial"/>
          <w:sz w:val="22"/>
          <w:szCs w:val="22"/>
          <w:u w:val="none"/>
        </w:rPr>
        <w:t xml:space="preserve">of this development does not maintain the </w:t>
      </w:r>
      <w:r w:rsidRPr="006B29E5">
        <w:rPr>
          <w:rFonts w:ascii="Arial" w:hAnsi="Arial" w:cs="Arial"/>
          <w:b/>
          <w:sz w:val="22"/>
          <w:szCs w:val="22"/>
          <w:u w:val="none"/>
        </w:rPr>
        <w:t>integrity and continuity</w:t>
      </w:r>
      <w:r w:rsidRPr="006B29E5">
        <w:rPr>
          <w:rFonts w:ascii="Arial" w:hAnsi="Arial" w:cs="Arial"/>
          <w:sz w:val="22"/>
          <w:szCs w:val="22"/>
          <w:u w:val="none"/>
        </w:rPr>
        <w:t xml:space="preserve"> of the Municipality. It does not </w:t>
      </w:r>
      <w:r w:rsidR="000F19B4">
        <w:rPr>
          <w:rFonts w:ascii="Arial" w:hAnsi="Arial" w:cs="Arial"/>
          <w:sz w:val="22"/>
          <w:szCs w:val="22"/>
          <w:u w:val="none"/>
        </w:rPr>
        <w:t>meet</w:t>
      </w:r>
      <w:r w:rsidR="000F19B4" w:rsidRPr="006B29E5">
        <w:rPr>
          <w:rFonts w:ascii="Arial" w:hAnsi="Arial" w:cs="Arial"/>
          <w:sz w:val="22"/>
          <w:szCs w:val="22"/>
          <w:u w:val="none"/>
        </w:rPr>
        <w:t xml:space="preserve"> </w:t>
      </w:r>
      <w:r w:rsidR="000F19B4">
        <w:rPr>
          <w:rFonts w:ascii="Arial" w:hAnsi="Arial" w:cs="Arial"/>
          <w:sz w:val="22"/>
          <w:szCs w:val="22"/>
          <w:u w:val="none"/>
        </w:rPr>
        <w:t>the</w:t>
      </w:r>
      <w:r w:rsidR="000F19B4" w:rsidRPr="006B29E5">
        <w:rPr>
          <w:rFonts w:ascii="Arial" w:hAnsi="Arial" w:cs="Arial"/>
          <w:sz w:val="22"/>
          <w:szCs w:val="22"/>
          <w:u w:val="none"/>
        </w:rPr>
        <w:t xml:space="preserve"> </w:t>
      </w:r>
      <w:r w:rsidRPr="006B29E5">
        <w:rPr>
          <w:rFonts w:ascii="Arial" w:hAnsi="Arial" w:cs="Arial"/>
          <w:sz w:val="22"/>
          <w:szCs w:val="22"/>
          <w:u w:val="none"/>
        </w:rPr>
        <w:t>stated objective in Hunters Hill Council Local Environment Plan 2012,</w:t>
      </w:r>
      <w:r w:rsidR="000F19B4" w:rsidRPr="000F19B4">
        <w:rPr>
          <w:rFonts w:ascii="Arial" w:hAnsi="Arial" w:cs="Arial"/>
          <w:sz w:val="22"/>
          <w:szCs w:val="22"/>
          <w:u w:val="none"/>
        </w:rPr>
        <w:t xml:space="preserve"> </w:t>
      </w:r>
      <w:r w:rsidR="000F19B4" w:rsidRPr="006B29E5">
        <w:rPr>
          <w:rFonts w:ascii="Arial" w:hAnsi="Arial" w:cs="Arial"/>
          <w:sz w:val="22"/>
          <w:szCs w:val="22"/>
          <w:u w:val="none"/>
        </w:rPr>
        <w:t>clause 1.2(2)(a)</w:t>
      </w:r>
      <w:r w:rsidR="000F19B4">
        <w:rPr>
          <w:rFonts w:ascii="Arial" w:hAnsi="Arial" w:cs="Arial"/>
          <w:sz w:val="22"/>
          <w:szCs w:val="22"/>
          <w:u w:val="none"/>
        </w:rPr>
        <w:t xml:space="preserve">, to </w:t>
      </w:r>
      <w:r w:rsidRPr="006B29E5">
        <w:rPr>
          <w:rFonts w:ascii="Arial" w:hAnsi="Arial" w:cs="Arial"/>
          <w:sz w:val="22"/>
          <w:szCs w:val="22"/>
          <w:u w:val="none"/>
        </w:rPr>
        <w:t>“</w:t>
      </w:r>
      <w:r w:rsidRPr="006B29E5">
        <w:rPr>
          <w:rFonts w:ascii="Arial" w:eastAsia="Times New Roman" w:hAnsi="Arial" w:cs="Arial"/>
          <w:i/>
          <w:color w:val="000000"/>
          <w:sz w:val="22"/>
          <w:szCs w:val="22"/>
          <w:u w:val="none"/>
          <w:shd w:val="clear" w:color="auto" w:fill="FFFFFF"/>
          <w:lang w:val="en-AU"/>
        </w:rPr>
        <w:t>maintain and enhance the character and identity of established neighbourhoods in Hunters Hill</w:t>
      </w:r>
      <w:r w:rsidR="006222E0">
        <w:rPr>
          <w:rFonts w:ascii="Arial" w:hAnsi="Arial" w:cs="Arial"/>
          <w:sz w:val="22"/>
          <w:szCs w:val="22"/>
          <w:u w:val="none"/>
        </w:rPr>
        <w:t>” (</w:t>
      </w:r>
      <w:r w:rsidRPr="006B29E5">
        <w:rPr>
          <w:rFonts w:ascii="Arial" w:hAnsi="Arial" w:cs="Arial"/>
          <w:sz w:val="22"/>
          <w:szCs w:val="22"/>
          <w:u w:val="none"/>
        </w:rPr>
        <w:t>the entire</w:t>
      </w:r>
      <w:r w:rsidR="006222E0">
        <w:rPr>
          <w:rFonts w:ascii="Arial" w:hAnsi="Arial"/>
          <w:sz w:val="22"/>
          <w:szCs w:val="22"/>
          <w:u w:val="none"/>
        </w:rPr>
        <w:t xml:space="preserve"> municipality)</w:t>
      </w:r>
      <w:r w:rsidR="00AD4F84" w:rsidRPr="006B29E5">
        <w:rPr>
          <w:rFonts w:ascii="Arial" w:hAnsi="Arial"/>
          <w:sz w:val="22"/>
          <w:szCs w:val="22"/>
          <w:u w:val="none"/>
        </w:rPr>
        <w:t xml:space="preserve">. </w:t>
      </w:r>
    </w:p>
    <w:p w14:paraId="69B98D6F" w14:textId="77777777" w:rsidR="00D30585" w:rsidRDefault="00D30585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0E73CB0C" w14:textId="7AAB2DDB" w:rsidR="00984EC1" w:rsidRDefault="00AD4F84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The planned removal</w:t>
      </w:r>
      <w:r w:rsidR="00984EC1" w:rsidRPr="006B29E5">
        <w:rPr>
          <w:rFonts w:ascii="Arial" w:hAnsi="Arial"/>
          <w:sz w:val="22"/>
          <w:szCs w:val="22"/>
          <w:u w:val="none"/>
        </w:rPr>
        <w:t xml:space="preserve"> </w:t>
      </w:r>
      <w:r w:rsidR="000F19B4">
        <w:rPr>
          <w:rFonts w:ascii="Arial" w:hAnsi="Arial"/>
          <w:sz w:val="22"/>
          <w:szCs w:val="22"/>
          <w:u w:val="none"/>
        </w:rPr>
        <w:t xml:space="preserve">of </w:t>
      </w:r>
      <w:r w:rsidR="00984EC1" w:rsidRPr="006B29E5">
        <w:rPr>
          <w:rFonts w:ascii="Arial" w:hAnsi="Arial"/>
          <w:sz w:val="22"/>
          <w:szCs w:val="22"/>
          <w:u w:val="none"/>
        </w:rPr>
        <w:t>the t</w:t>
      </w:r>
      <w:r w:rsidR="00145C51">
        <w:rPr>
          <w:rFonts w:ascii="Arial" w:hAnsi="Arial"/>
          <w:sz w:val="22"/>
          <w:szCs w:val="22"/>
          <w:u w:val="none"/>
        </w:rPr>
        <w:t>imber cottage of heritage value</w:t>
      </w:r>
      <w:r w:rsidR="00984EC1" w:rsidRPr="006B29E5">
        <w:rPr>
          <w:rFonts w:ascii="Arial" w:hAnsi="Arial"/>
          <w:sz w:val="22"/>
          <w:szCs w:val="22"/>
          <w:u w:val="none"/>
        </w:rPr>
        <w:t xml:space="preserve"> </w:t>
      </w:r>
      <w:r w:rsidRPr="006B29E5">
        <w:rPr>
          <w:rFonts w:ascii="Arial" w:hAnsi="Arial"/>
          <w:sz w:val="22"/>
          <w:szCs w:val="22"/>
          <w:u w:val="none"/>
        </w:rPr>
        <w:t xml:space="preserve">at 10 </w:t>
      </w:r>
      <w:proofErr w:type="spellStart"/>
      <w:r w:rsidRPr="006B29E5">
        <w:rPr>
          <w:rFonts w:ascii="Arial" w:hAnsi="Arial"/>
          <w:sz w:val="22"/>
          <w:szCs w:val="22"/>
          <w:u w:val="none"/>
        </w:rPr>
        <w:t>Cowell</w:t>
      </w:r>
      <w:proofErr w:type="spellEnd"/>
      <w:r w:rsidRPr="006B29E5">
        <w:rPr>
          <w:rFonts w:ascii="Arial" w:hAnsi="Arial"/>
          <w:sz w:val="22"/>
          <w:szCs w:val="22"/>
          <w:u w:val="none"/>
        </w:rPr>
        <w:t xml:space="preserve"> Street, and construction of</w:t>
      </w:r>
      <w:r w:rsidR="00DD2E8B">
        <w:rPr>
          <w:rFonts w:ascii="Arial" w:hAnsi="Arial"/>
          <w:sz w:val="22"/>
          <w:szCs w:val="22"/>
          <w:u w:val="none"/>
        </w:rPr>
        <w:t xml:space="preserve"> 14 metre sheer facades with</w:t>
      </w:r>
      <w:r w:rsidR="00ED31C6">
        <w:rPr>
          <w:rFonts w:ascii="Arial" w:hAnsi="Arial"/>
          <w:sz w:val="22"/>
          <w:szCs w:val="22"/>
          <w:u w:val="none"/>
        </w:rPr>
        <w:t xml:space="preserve"> </w:t>
      </w:r>
      <w:r w:rsidR="00984EC1" w:rsidRPr="006B29E5">
        <w:rPr>
          <w:rFonts w:ascii="Arial" w:hAnsi="Arial"/>
          <w:sz w:val="22"/>
          <w:szCs w:val="22"/>
          <w:u w:val="none"/>
        </w:rPr>
        <w:t>no setback</w:t>
      </w:r>
      <w:r w:rsidR="00ED31C6">
        <w:rPr>
          <w:rFonts w:ascii="Arial" w:hAnsi="Arial"/>
          <w:sz w:val="22"/>
          <w:szCs w:val="22"/>
          <w:u w:val="none"/>
        </w:rPr>
        <w:t xml:space="preserve"> from the boundaries</w:t>
      </w:r>
      <w:r w:rsidR="00DD2E8B">
        <w:rPr>
          <w:rFonts w:ascii="Arial" w:hAnsi="Arial"/>
          <w:sz w:val="22"/>
          <w:szCs w:val="22"/>
          <w:u w:val="none"/>
        </w:rPr>
        <w:t xml:space="preserve"> is</w:t>
      </w:r>
      <w:r w:rsidR="00984EC1" w:rsidRPr="006B29E5">
        <w:rPr>
          <w:rFonts w:ascii="Arial" w:hAnsi="Arial"/>
          <w:sz w:val="22"/>
          <w:szCs w:val="22"/>
          <w:u w:val="none"/>
        </w:rPr>
        <w:t xml:space="preserve"> out </w:t>
      </w:r>
      <w:r w:rsidRPr="006B29E5">
        <w:rPr>
          <w:rFonts w:ascii="Arial" w:hAnsi="Arial"/>
          <w:sz w:val="22"/>
          <w:szCs w:val="22"/>
          <w:u w:val="none"/>
        </w:rPr>
        <w:t>of keeping with the surrounding neighbourhood, and indeed the entire municipality.</w:t>
      </w:r>
    </w:p>
    <w:p w14:paraId="0B41382C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601494EC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</w:rPr>
      </w:pPr>
      <w:r w:rsidRPr="006B29E5">
        <w:rPr>
          <w:rFonts w:ascii="Arial" w:hAnsi="Arial"/>
          <w:sz w:val="22"/>
          <w:szCs w:val="22"/>
        </w:rPr>
        <w:t>Traffic Management</w:t>
      </w:r>
      <w:r w:rsidR="00FB42F2" w:rsidRPr="006B29E5">
        <w:rPr>
          <w:rFonts w:ascii="Arial" w:hAnsi="Arial"/>
          <w:sz w:val="22"/>
          <w:szCs w:val="22"/>
        </w:rPr>
        <w:t xml:space="preserve"> and Parking</w:t>
      </w:r>
    </w:p>
    <w:p w14:paraId="10A210A2" w14:textId="77777777" w:rsidR="00FB42F2" w:rsidRPr="006B29E5" w:rsidRDefault="00FB42F2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3464C3BC" w14:textId="77777777" w:rsidR="00FB42F2" w:rsidRPr="006B29E5" w:rsidRDefault="00AD4F84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 xml:space="preserve">The Local Environment Plans of both Hunters Hill and Ryde Municipal Councils provide for significant development and population growth along the Victoria Rd </w:t>
      </w:r>
      <w:r w:rsidRPr="00997435">
        <w:rPr>
          <w:rFonts w:ascii="Arial" w:hAnsi="Arial"/>
          <w:sz w:val="22"/>
          <w:szCs w:val="22"/>
          <w:u w:val="none"/>
        </w:rPr>
        <w:t>corridor.</w:t>
      </w:r>
      <w:r w:rsidRPr="006B29E5">
        <w:rPr>
          <w:rFonts w:ascii="Arial" w:hAnsi="Arial"/>
          <w:sz w:val="22"/>
          <w:szCs w:val="22"/>
          <w:u w:val="none"/>
        </w:rPr>
        <w:t xml:space="preserve"> </w:t>
      </w:r>
      <w:r w:rsidR="00F21D82">
        <w:rPr>
          <w:rFonts w:ascii="Arial" w:hAnsi="Arial"/>
          <w:sz w:val="22"/>
          <w:szCs w:val="22"/>
          <w:u w:val="none"/>
        </w:rPr>
        <w:t>This</w:t>
      </w:r>
      <w:r w:rsidRPr="006B29E5">
        <w:rPr>
          <w:rFonts w:ascii="Arial" w:hAnsi="Arial"/>
          <w:sz w:val="22"/>
          <w:szCs w:val="22"/>
          <w:u w:val="none"/>
        </w:rPr>
        <w:t xml:space="preserve"> </w:t>
      </w:r>
      <w:r w:rsidR="00F21D82">
        <w:rPr>
          <w:rFonts w:ascii="Arial" w:hAnsi="Arial"/>
          <w:sz w:val="22"/>
          <w:szCs w:val="22"/>
          <w:u w:val="none"/>
        </w:rPr>
        <w:t>res</w:t>
      </w:r>
      <w:r w:rsidR="009317D3">
        <w:rPr>
          <w:rFonts w:ascii="Arial" w:hAnsi="Arial"/>
          <w:sz w:val="22"/>
          <w:szCs w:val="22"/>
          <w:u w:val="none"/>
        </w:rPr>
        <w:t>idential and commercial development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 will increase traffic loads </w:t>
      </w:r>
      <w:r w:rsidRPr="006B29E5">
        <w:rPr>
          <w:rFonts w:ascii="Arial" w:hAnsi="Arial"/>
          <w:sz w:val="22"/>
          <w:szCs w:val="22"/>
          <w:u w:val="none"/>
        </w:rPr>
        <w:t>in the whole of the Gladesville area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 and similarly the demand for parking</w:t>
      </w:r>
      <w:r w:rsidRPr="006B29E5">
        <w:rPr>
          <w:rFonts w:ascii="Arial" w:hAnsi="Arial"/>
          <w:sz w:val="22"/>
          <w:szCs w:val="22"/>
          <w:u w:val="none"/>
        </w:rPr>
        <w:t xml:space="preserve">. </w:t>
      </w:r>
    </w:p>
    <w:p w14:paraId="18B5D592" w14:textId="77777777" w:rsidR="00FB42F2" w:rsidRPr="006B29E5" w:rsidRDefault="00FB42F2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0C34E400" w14:textId="71030E47" w:rsidR="00DD2E8B" w:rsidRDefault="00AD4F84" w:rsidP="00DD2E8B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 xml:space="preserve">Without an </w:t>
      </w:r>
      <w:r w:rsidRPr="006B29E5">
        <w:rPr>
          <w:rFonts w:ascii="Arial" w:hAnsi="Arial"/>
          <w:b/>
          <w:sz w:val="22"/>
          <w:szCs w:val="22"/>
          <w:u w:val="none"/>
        </w:rPr>
        <w:t xml:space="preserve">independent study from a reputable </w:t>
      </w:r>
      <w:r w:rsidR="006B29E5">
        <w:rPr>
          <w:rFonts w:ascii="Arial" w:hAnsi="Arial"/>
          <w:b/>
          <w:sz w:val="22"/>
          <w:szCs w:val="22"/>
          <w:u w:val="none"/>
        </w:rPr>
        <w:t xml:space="preserve">and suitably qualified </w:t>
      </w:r>
      <w:r w:rsidRPr="006B29E5">
        <w:rPr>
          <w:rFonts w:ascii="Arial" w:hAnsi="Arial"/>
          <w:b/>
          <w:sz w:val="22"/>
          <w:szCs w:val="22"/>
          <w:u w:val="none"/>
        </w:rPr>
        <w:t>professional</w:t>
      </w:r>
      <w:r w:rsidRPr="006B29E5">
        <w:rPr>
          <w:rFonts w:ascii="Arial" w:hAnsi="Arial"/>
          <w:sz w:val="22"/>
          <w:szCs w:val="22"/>
          <w:u w:val="none"/>
        </w:rPr>
        <w:t>, it is not possible to relia</w:t>
      </w:r>
      <w:r w:rsidR="00FB42F2" w:rsidRPr="006B29E5">
        <w:rPr>
          <w:rFonts w:ascii="Arial" w:hAnsi="Arial"/>
          <w:sz w:val="22"/>
          <w:szCs w:val="22"/>
          <w:u w:val="none"/>
        </w:rPr>
        <w:t>bly determine the impact of this</w:t>
      </w:r>
      <w:r w:rsidRPr="006B29E5">
        <w:rPr>
          <w:rFonts w:ascii="Arial" w:hAnsi="Arial"/>
          <w:sz w:val="22"/>
          <w:szCs w:val="22"/>
          <w:u w:val="none"/>
        </w:rPr>
        <w:t xml:space="preserve"> additional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 traffic</w:t>
      </w:r>
      <w:r w:rsidRPr="006B29E5">
        <w:rPr>
          <w:rFonts w:ascii="Arial" w:hAnsi="Arial"/>
          <w:sz w:val="22"/>
          <w:szCs w:val="22"/>
          <w:u w:val="none"/>
        </w:rPr>
        <w:t xml:space="preserve"> load</w:t>
      </w:r>
      <w:r w:rsidR="00E3455D" w:rsidRPr="006B29E5">
        <w:rPr>
          <w:rFonts w:ascii="Arial" w:hAnsi="Arial"/>
          <w:sz w:val="22"/>
          <w:szCs w:val="22"/>
          <w:u w:val="none"/>
        </w:rPr>
        <w:t xml:space="preserve"> upon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 Gladesville</w:t>
      </w:r>
      <w:r w:rsidR="006B29E5">
        <w:rPr>
          <w:rFonts w:ascii="Arial" w:hAnsi="Arial"/>
          <w:sz w:val="22"/>
          <w:szCs w:val="22"/>
          <w:u w:val="none"/>
        </w:rPr>
        <w:t>,</w:t>
      </w:r>
      <w:r w:rsidR="00CB34E8" w:rsidRPr="006B29E5">
        <w:rPr>
          <w:rFonts w:ascii="Arial" w:hAnsi="Arial"/>
          <w:sz w:val="22"/>
          <w:szCs w:val="22"/>
          <w:u w:val="none"/>
        </w:rPr>
        <w:t xml:space="preserve"> as measured by</w:t>
      </w:r>
      <w:r w:rsidR="00E52E3A">
        <w:rPr>
          <w:rFonts w:ascii="Arial" w:hAnsi="Arial"/>
          <w:sz w:val="22"/>
          <w:szCs w:val="22"/>
          <w:u w:val="none"/>
        </w:rPr>
        <w:t>:</w:t>
      </w:r>
      <w:r w:rsidR="00CB34E8" w:rsidRPr="006B29E5">
        <w:rPr>
          <w:rFonts w:ascii="Arial" w:hAnsi="Arial"/>
          <w:sz w:val="22"/>
          <w:szCs w:val="22"/>
          <w:u w:val="none"/>
        </w:rPr>
        <w:t xml:space="preserve"> the ease of vehicular access, the impact of traffic flows on residential n</w:t>
      </w:r>
      <w:r w:rsidR="006B29E5" w:rsidRPr="006B29E5">
        <w:rPr>
          <w:rFonts w:ascii="Arial" w:hAnsi="Arial"/>
          <w:sz w:val="22"/>
          <w:szCs w:val="22"/>
          <w:u w:val="none"/>
        </w:rPr>
        <w:t xml:space="preserve">eighbourhoods, and the impact </w:t>
      </w:r>
      <w:r w:rsidR="00CB34E8" w:rsidRPr="006B29E5">
        <w:rPr>
          <w:rFonts w:ascii="Arial" w:hAnsi="Arial"/>
          <w:sz w:val="22"/>
          <w:szCs w:val="22"/>
          <w:u w:val="none"/>
        </w:rPr>
        <w:t>on pedestrian safety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. Unless </w:t>
      </w:r>
      <w:r w:rsidR="009317D3">
        <w:rPr>
          <w:rFonts w:ascii="Arial" w:hAnsi="Arial"/>
          <w:sz w:val="22"/>
          <w:szCs w:val="22"/>
          <w:u w:val="none"/>
        </w:rPr>
        <w:t xml:space="preserve">developments </w:t>
      </w:r>
      <w:r w:rsidR="00FB42F2" w:rsidRPr="006B29E5">
        <w:rPr>
          <w:rFonts w:ascii="Arial" w:hAnsi="Arial"/>
          <w:sz w:val="22"/>
          <w:szCs w:val="22"/>
          <w:u w:val="none"/>
        </w:rPr>
        <w:t>are required to</w:t>
      </w:r>
      <w:r w:rsidR="00E3455D" w:rsidRPr="006B29E5">
        <w:rPr>
          <w:rFonts w:ascii="Arial" w:hAnsi="Arial"/>
          <w:sz w:val="22"/>
          <w:szCs w:val="22"/>
          <w:u w:val="none"/>
        </w:rPr>
        <w:t xml:space="preserve"> provide sufficient off-street parking to accommodate the</w:t>
      </w:r>
      <w:r w:rsidR="006B29E5" w:rsidRPr="006B29E5">
        <w:rPr>
          <w:rFonts w:ascii="Arial" w:hAnsi="Arial"/>
          <w:sz w:val="22"/>
          <w:szCs w:val="22"/>
          <w:u w:val="none"/>
        </w:rPr>
        <w:t xml:space="preserve"> parking demand</w:t>
      </w:r>
      <w:r w:rsidR="00CB34E8" w:rsidRPr="006B29E5">
        <w:rPr>
          <w:rFonts w:ascii="Arial" w:hAnsi="Arial"/>
          <w:sz w:val="22"/>
          <w:szCs w:val="22"/>
          <w:u w:val="none"/>
        </w:rPr>
        <w:t xml:space="preserve"> </w:t>
      </w:r>
      <w:r w:rsidR="006B29E5" w:rsidRPr="006B29E5">
        <w:rPr>
          <w:rFonts w:ascii="Arial" w:hAnsi="Arial"/>
          <w:sz w:val="22"/>
          <w:szCs w:val="22"/>
          <w:u w:val="none"/>
        </w:rPr>
        <w:t>that</w:t>
      </w:r>
      <w:r w:rsidR="00E3455D" w:rsidRPr="006B29E5">
        <w:rPr>
          <w:rFonts w:ascii="Arial" w:hAnsi="Arial"/>
          <w:sz w:val="22"/>
          <w:szCs w:val="22"/>
          <w:u w:val="none"/>
        </w:rPr>
        <w:t xml:space="preserve"> they will generate, </w:t>
      </w:r>
      <w:r w:rsidR="006B29E5" w:rsidRPr="006B29E5">
        <w:rPr>
          <w:rFonts w:ascii="Arial" w:hAnsi="Arial"/>
          <w:sz w:val="22"/>
          <w:szCs w:val="22"/>
          <w:u w:val="none"/>
        </w:rPr>
        <w:t xml:space="preserve">including the needs of retail and commercial staff, </w:t>
      </w:r>
      <w:r w:rsidR="00CB34E8" w:rsidRPr="006B29E5">
        <w:rPr>
          <w:rFonts w:ascii="Arial" w:hAnsi="Arial"/>
          <w:sz w:val="22"/>
          <w:szCs w:val="22"/>
          <w:u w:val="none"/>
        </w:rPr>
        <w:t xml:space="preserve">the </w:t>
      </w:r>
      <w:r w:rsidR="00CB34E8" w:rsidRPr="00CB1E5A">
        <w:rPr>
          <w:rFonts w:ascii="Arial" w:hAnsi="Arial"/>
          <w:b/>
          <w:sz w:val="22"/>
          <w:szCs w:val="22"/>
          <w:u w:val="none"/>
        </w:rPr>
        <w:t xml:space="preserve">surrounding streets will far exceed </w:t>
      </w:r>
      <w:r w:rsidR="00D30585" w:rsidRPr="00CB1E5A">
        <w:rPr>
          <w:rFonts w:ascii="Arial" w:hAnsi="Arial"/>
          <w:b/>
          <w:sz w:val="22"/>
          <w:szCs w:val="22"/>
          <w:u w:val="none"/>
        </w:rPr>
        <w:t xml:space="preserve">parking </w:t>
      </w:r>
      <w:r w:rsidR="00CB34E8" w:rsidRPr="00CB1E5A">
        <w:rPr>
          <w:rFonts w:ascii="Arial" w:hAnsi="Arial"/>
          <w:b/>
          <w:sz w:val="22"/>
          <w:szCs w:val="22"/>
          <w:u w:val="none"/>
        </w:rPr>
        <w:t>saturation</w:t>
      </w:r>
      <w:r w:rsidR="00CB34E8" w:rsidRPr="00CB1E5A">
        <w:rPr>
          <w:rFonts w:ascii="Arial" w:hAnsi="Arial"/>
          <w:sz w:val="22"/>
          <w:szCs w:val="22"/>
          <w:u w:val="none"/>
        </w:rPr>
        <w:t>.</w:t>
      </w:r>
      <w:r w:rsidR="00DD2E8B">
        <w:rPr>
          <w:rFonts w:ascii="Arial" w:hAnsi="Arial"/>
          <w:sz w:val="22"/>
          <w:szCs w:val="22"/>
          <w:u w:val="none"/>
        </w:rPr>
        <w:br w:type="page"/>
      </w:r>
    </w:p>
    <w:p w14:paraId="013B40CF" w14:textId="140B2FC9" w:rsidR="00FB42F2" w:rsidRPr="006B29E5" w:rsidRDefault="00CB34E8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Development planning which is inadequate to r</w:t>
      </w:r>
      <w:r w:rsidR="006B29E5">
        <w:rPr>
          <w:rFonts w:ascii="Arial" w:hAnsi="Arial"/>
          <w:sz w:val="22"/>
          <w:szCs w:val="22"/>
          <w:u w:val="none"/>
        </w:rPr>
        <w:t>esponsibly manage traffic flows</w:t>
      </w:r>
      <w:r w:rsidRPr="006B29E5">
        <w:rPr>
          <w:rFonts w:ascii="Arial" w:hAnsi="Arial"/>
          <w:sz w:val="22"/>
          <w:szCs w:val="22"/>
          <w:u w:val="none"/>
        </w:rPr>
        <w:t xml:space="preserve"> and to ensure the provision of adequate</w:t>
      </w:r>
      <w:r w:rsidR="006B29E5">
        <w:rPr>
          <w:rFonts w:ascii="Arial" w:hAnsi="Arial"/>
          <w:sz w:val="22"/>
          <w:szCs w:val="22"/>
          <w:u w:val="none"/>
        </w:rPr>
        <w:t xml:space="preserve"> parking</w:t>
      </w:r>
      <w:r w:rsidRPr="006B29E5">
        <w:rPr>
          <w:rFonts w:ascii="Arial" w:hAnsi="Arial"/>
          <w:sz w:val="22"/>
          <w:szCs w:val="22"/>
          <w:u w:val="none"/>
        </w:rPr>
        <w:t xml:space="preserve"> will harm the amenity </w:t>
      </w:r>
      <w:r w:rsidR="00997435">
        <w:rPr>
          <w:rFonts w:ascii="Arial" w:hAnsi="Arial"/>
          <w:sz w:val="22"/>
          <w:szCs w:val="22"/>
          <w:u w:val="none"/>
        </w:rPr>
        <w:t xml:space="preserve">of </w:t>
      </w:r>
      <w:r w:rsidR="00CB1E5A">
        <w:rPr>
          <w:rFonts w:ascii="Arial" w:hAnsi="Arial"/>
          <w:sz w:val="22"/>
          <w:szCs w:val="22"/>
          <w:u w:val="none"/>
        </w:rPr>
        <w:t>Gladesville</w:t>
      </w:r>
      <w:r w:rsidR="00997435">
        <w:rPr>
          <w:rFonts w:ascii="Arial" w:hAnsi="Arial"/>
          <w:sz w:val="22"/>
          <w:szCs w:val="22"/>
          <w:u w:val="none"/>
        </w:rPr>
        <w:t xml:space="preserve"> </w:t>
      </w:r>
      <w:r w:rsidRPr="006B29E5">
        <w:rPr>
          <w:rFonts w:ascii="Arial" w:hAnsi="Arial"/>
          <w:sz w:val="22"/>
          <w:szCs w:val="22"/>
          <w:u w:val="none"/>
        </w:rPr>
        <w:t>no</w:t>
      </w:r>
      <w:r w:rsidR="007D4F6C">
        <w:rPr>
          <w:rFonts w:ascii="Arial" w:hAnsi="Arial"/>
          <w:sz w:val="22"/>
          <w:szCs w:val="22"/>
          <w:u w:val="none"/>
        </w:rPr>
        <w:t>t just</w:t>
      </w:r>
      <w:r w:rsidR="00CB1E5A">
        <w:rPr>
          <w:rFonts w:ascii="Arial" w:hAnsi="Arial"/>
          <w:sz w:val="22"/>
          <w:szCs w:val="22"/>
          <w:u w:val="none"/>
        </w:rPr>
        <w:t xml:space="preserve"> for</w:t>
      </w:r>
      <w:r w:rsidR="007D4F6C">
        <w:rPr>
          <w:rFonts w:ascii="Arial" w:hAnsi="Arial"/>
          <w:sz w:val="22"/>
          <w:szCs w:val="22"/>
          <w:u w:val="none"/>
        </w:rPr>
        <w:t xml:space="preserve"> local residents</w:t>
      </w:r>
      <w:r w:rsidR="00997435">
        <w:rPr>
          <w:rFonts w:ascii="Arial" w:hAnsi="Arial"/>
          <w:sz w:val="22"/>
          <w:szCs w:val="22"/>
          <w:u w:val="none"/>
        </w:rPr>
        <w:t>,</w:t>
      </w:r>
      <w:r w:rsidRPr="006B29E5">
        <w:rPr>
          <w:rFonts w:ascii="Arial" w:hAnsi="Arial"/>
          <w:sz w:val="22"/>
          <w:szCs w:val="22"/>
          <w:u w:val="none"/>
        </w:rPr>
        <w:t xml:space="preserve"> but also shoppers and c</w:t>
      </w:r>
      <w:r w:rsidR="00CB1E5A">
        <w:rPr>
          <w:rFonts w:ascii="Arial" w:hAnsi="Arial"/>
          <w:sz w:val="22"/>
          <w:szCs w:val="22"/>
          <w:u w:val="none"/>
        </w:rPr>
        <w:t>ustomers who frequent this site and surrounds</w:t>
      </w:r>
      <w:r w:rsidR="00ED31C6">
        <w:rPr>
          <w:rFonts w:ascii="Arial" w:hAnsi="Arial"/>
          <w:sz w:val="22"/>
          <w:szCs w:val="22"/>
          <w:u w:val="none"/>
        </w:rPr>
        <w:t>. It will impact</w:t>
      </w:r>
      <w:r w:rsidR="006B29E5">
        <w:rPr>
          <w:rFonts w:ascii="Arial" w:hAnsi="Arial"/>
          <w:sz w:val="22"/>
          <w:szCs w:val="22"/>
          <w:u w:val="none"/>
        </w:rPr>
        <w:t xml:space="preserve"> </w:t>
      </w:r>
      <w:r w:rsidRPr="006B29E5">
        <w:rPr>
          <w:rFonts w:ascii="Arial" w:hAnsi="Arial"/>
          <w:sz w:val="22"/>
          <w:szCs w:val="22"/>
          <w:u w:val="none"/>
        </w:rPr>
        <w:t xml:space="preserve">the </w:t>
      </w:r>
      <w:r w:rsidR="006B29E5">
        <w:rPr>
          <w:rFonts w:ascii="Arial" w:hAnsi="Arial"/>
          <w:sz w:val="22"/>
          <w:szCs w:val="22"/>
          <w:u w:val="none"/>
        </w:rPr>
        <w:t xml:space="preserve">viability of </w:t>
      </w:r>
      <w:r w:rsidRPr="006B29E5">
        <w:rPr>
          <w:rFonts w:ascii="Arial" w:hAnsi="Arial"/>
          <w:sz w:val="22"/>
          <w:szCs w:val="22"/>
          <w:u w:val="none"/>
        </w:rPr>
        <w:t xml:space="preserve">businesses </w:t>
      </w:r>
      <w:r w:rsidR="00CB1E5A">
        <w:rPr>
          <w:rFonts w:ascii="Arial" w:hAnsi="Arial"/>
          <w:sz w:val="22"/>
          <w:szCs w:val="22"/>
          <w:u w:val="none"/>
        </w:rPr>
        <w:t xml:space="preserve">for </w:t>
      </w:r>
      <w:r w:rsidR="00997435">
        <w:rPr>
          <w:rFonts w:ascii="Arial" w:hAnsi="Arial"/>
          <w:sz w:val="22"/>
          <w:szCs w:val="22"/>
          <w:u w:val="none"/>
        </w:rPr>
        <w:t>whose</w:t>
      </w:r>
      <w:r w:rsidRPr="006B29E5">
        <w:rPr>
          <w:rFonts w:ascii="Arial" w:hAnsi="Arial"/>
          <w:sz w:val="22"/>
          <w:szCs w:val="22"/>
          <w:u w:val="none"/>
        </w:rPr>
        <w:t xml:space="preserve"> would-be customers cannot</w:t>
      </w:r>
      <w:r w:rsidR="007D4F6C">
        <w:rPr>
          <w:rFonts w:ascii="Arial" w:hAnsi="Arial"/>
          <w:sz w:val="22"/>
          <w:szCs w:val="22"/>
          <w:u w:val="none"/>
        </w:rPr>
        <w:t xml:space="preserve"> readily gain access </w:t>
      </w:r>
      <w:r w:rsidR="00997435">
        <w:rPr>
          <w:rFonts w:ascii="Arial" w:hAnsi="Arial"/>
          <w:sz w:val="22"/>
          <w:szCs w:val="22"/>
          <w:u w:val="none"/>
        </w:rPr>
        <w:t xml:space="preserve">to </w:t>
      </w:r>
      <w:r w:rsidR="007D4F6C">
        <w:rPr>
          <w:rFonts w:ascii="Arial" w:hAnsi="Arial"/>
          <w:sz w:val="22"/>
          <w:szCs w:val="22"/>
          <w:u w:val="none"/>
        </w:rPr>
        <w:t>and park</w:t>
      </w:r>
      <w:r w:rsidRPr="006B29E5">
        <w:rPr>
          <w:rFonts w:ascii="Arial" w:hAnsi="Arial"/>
          <w:sz w:val="22"/>
          <w:szCs w:val="22"/>
          <w:u w:val="none"/>
        </w:rPr>
        <w:t xml:space="preserve"> in Gladesville,</w:t>
      </w:r>
      <w:r w:rsidR="00ED31C6">
        <w:rPr>
          <w:rFonts w:ascii="Arial" w:hAnsi="Arial"/>
          <w:sz w:val="22"/>
          <w:szCs w:val="22"/>
          <w:u w:val="none"/>
        </w:rPr>
        <w:t xml:space="preserve"> elderly members of the community who require parking close to services, parents who park nearby for drop-off and pick-up of </w:t>
      </w:r>
      <w:r w:rsidR="00ED31C6" w:rsidRPr="006B29E5">
        <w:rPr>
          <w:rFonts w:ascii="Arial" w:hAnsi="Arial"/>
          <w:sz w:val="22"/>
          <w:szCs w:val="22"/>
          <w:u w:val="none"/>
        </w:rPr>
        <w:t>school</w:t>
      </w:r>
      <w:r w:rsidR="00ED31C6">
        <w:rPr>
          <w:rFonts w:ascii="Arial" w:hAnsi="Arial"/>
          <w:sz w:val="22"/>
          <w:szCs w:val="22"/>
          <w:u w:val="none"/>
        </w:rPr>
        <w:t xml:space="preserve"> and preschool </w:t>
      </w:r>
      <w:r w:rsidR="00ED31C6" w:rsidRPr="006B29E5">
        <w:rPr>
          <w:rFonts w:ascii="Arial" w:hAnsi="Arial"/>
          <w:sz w:val="22"/>
          <w:szCs w:val="22"/>
          <w:u w:val="none"/>
        </w:rPr>
        <w:t>children</w:t>
      </w:r>
      <w:r w:rsidR="00ED31C6">
        <w:rPr>
          <w:rFonts w:ascii="Arial" w:hAnsi="Arial"/>
          <w:sz w:val="22"/>
          <w:szCs w:val="22"/>
          <w:u w:val="none"/>
        </w:rPr>
        <w:t>,</w:t>
      </w:r>
      <w:r w:rsidRPr="006B29E5">
        <w:rPr>
          <w:rFonts w:ascii="Arial" w:hAnsi="Arial"/>
          <w:sz w:val="22"/>
          <w:szCs w:val="22"/>
          <w:u w:val="none"/>
        </w:rPr>
        <w:t xml:space="preserve"> and all other members </w:t>
      </w:r>
      <w:r w:rsidR="00ED31C6">
        <w:rPr>
          <w:rFonts w:ascii="Arial" w:hAnsi="Arial"/>
          <w:sz w:val="22"/>
          <w:szCs w:val="22"/>
          <w:u w:val="none"/>
        </w:rPr>
        <w:t>of the broader community who appreciate</w:t>
      </w:r>
      <w:r w:rsidRPr="006B29E5">
        <w:rPr>
          <w:rFonts w:ascii="Arial" w:hAnsi="Arial"/>
          <w:sz w:val="22"/>
          <w:szCs w:val="22"/>
          <w:u w:val="none"/>
        </w:rPr>
        <w:t xml:space="preserve"> Gladesville as the functioning commercial and residential centre which it currently is.</w:t>
      </w:r>
    </w:p>
    <w:p w14:paraId="5931F501" w14:textId="77777777" w:rsidR="00FB42F2" w:rsidRPr="006B29E5" w:rsidRDefault="00FB42F2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6C90FCDB" w14:textId="77777777" w:rsidR="00984EC1" w:rsidRPr="006B29E5" w:rsidRDefault="006B29E5" w:rsidP="00AD4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none"/>
        </w:rPr>
        <w:t xml:space="preserve">These impacts upon the </w:t>
      </w:r>
      <w:r w:rsidR="00FB42F2" w:rsidRPr="006B29E5">
        <w:rPr>
          <w:rFonts w:ascii="Arial" w:hAnsi="Arial"/>
          <w:sz w:val="22"/>
          <w:szCs w:val="22"/>
          <w:u w:val="none"/>
        </w:rPr>
        <w:t>bu</w:t>
      </w:r>
      <w:r w:rsidR="00ED31C6">
        <w:rPr>
          <w:rFonts w:ascii="Arial" w:hAnsi="Arial"/>
          <w:sz w:val="22"/>
          <w:szCs w:val="22"/>
          <w:u w:val="none"/>
        </w:rPr>
        <w:t>ilt environment, the economic and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 s</w:t>
      </w:r>
      <w:r>
        <w:rPr>
          <w:rFonts w:ascii="Arial" w:hAnsi="Arial"/>
          <w:sz w:val="22"/>
          <w:szCs w:val="22"/>
          <w:u w:val="none"/>
        </w:rPr>
        <w:t>ocial impact in the locality, and</w:t>
      </w:r>
      <w:r w:rsidR="00FB42F2" w:rsidRPr="006B29E5">
        <w:rPr>
          <w:rFonts w:ascii="Arial" w:hAnsi="Arial"/>
          <w:sz w:val="22"/>
          <w:szCs w:val="22"/>
          <w:u w:val="none"/>
        </w:rPr>
        <w:t xml:space="preserve"> the public interest</w:t>
      </w:r>
      <w:r>
        <w:rPr>
          <w:rFonts w:ascii="Arial" w:hAnsi="Arial"/>
          <w:sz w:val="22"/>
          <w:szCs w:val="22"/>
          <w:u w:val="none"/>
        </w:rPr>
        <w:t xml:space="preserve"> are relevant matters in the Environmental Planning and Assessment Act of 1979. Th</w:t>
      </w:r>
      <w:r w:rsidR="00D30585">
        <w:rPr>
          <w:rFonts w:ascii="Arial" w:hAnsi="Arial"/>
          <w:sz w:val="22"/>
          <w:szCs w:val="22"/>
          <w:u w:val="none"/>
        </w:rPr>
        <w:t xml:space="preserve">is redevelopment would create </w:t>
      </w:r>
      <w:r>
        <w:rPr>
          <w:rFonts w:ascii="Arial" w:hAnsi="Arial"/>
          <w:sz w:val="22"/>
          <w:szCs w:val="22"/>
          <w:u w:val="none"/>
        </w:rPr>
        <w:t>the</w:t>
      </w:r>
      <w:r w:rsidR="00D30585">
        <w:rPr>
          <w:rFonts w:ascii="Arial" w:hAnsi="Arial"/>
          <w:sz w:val="22"/>
          <w:szCs w:val="22"/>
          <w:u w:val="none"/>
        </w:rPr>
        <w:t xml:space="preserve"> largest building</w:t>
      </w:r>
      <w:r>
        <w:rPr>
          <w:rFonts w:ascii="Arial" w:hAnsi="Arial"/>
          <w:sz w:val="22"/>
          <w:szCs w:val="22"/>
          <w:u w:val="none"/>
        </w:rPr>
        <w:t xml:space="preserve"> in Gladesville, </w:t>
      </w:r>
      <w:r w:rsidR="00D30585">
        <w:rPr>
          <w:rFonts w:ascii="Arial" w:hAnsi="Arial"/>
          <w:sz w:val="22"/>
          <w:szCs w:val="22"/>
          <w:u w:val="none"/>
        </w:rPr>
        <w:t xml:space="preserve">and its impact must be considered </w:t>
      </w:r>
      <w:r>
        <w:rPr>
          <w:rFonts w:ascii="Arial" w:hAnsi="Arial"/>
          <w:sz w:val="22"/>
          <w:szCs w:val="22"/>
          <w:u w:val="none"/>
        </w:rPr>
        <w:t>on a cumulativ</w:t>
      </w:r>
      <w:r w:rsidR="00D30585">
        <w:rPr>
          <w:rFonts w:ascii="Arial" w:hAnsi="Arial"/>
          <w:sz w:val="22"/>
          <w:szCs w:val="22"/>
          <w:u w:val="none"/>
        </w:rPr>
        <w:t>e basis with regard to</w:t>
      </w:r>
      <w:r>
        <w:rPr>
          <w:rFonts w:ascii="Arial" w:hAnsi="Arial"/>
          <w:sz w:val="22"/>
          <w:szCs w:val="22"/>
          <w:u w:val="none"/>
        </w:rPr>
        <w:t xml:space="preserve"> all </w:t>
      </w:r>
      <w:r w:rsidR="00D30585">
        <w:rPr>
          <w:rFonts w:ascii="Arial" w:hAnsi="Arial"/>
          <w:sz w:val="22"/>
          <w:szCs w:val="22"/>
          <w:u w:val="none"/>
        </w:rPr>
        <w:t xml:space="preserve">recently approved or proposed </w:t>
      </w:r>
      <w:r>
        <w:rPr>
          <w:rFonts w:ascii="Arial" w:hAnsi="Arial"/>
          <w:sz w:val="22"/>
          <w:szCs w:val="22"/>
          <w:u w:val="none"/>
        </w:rPr>
        <w:t xml:space="preserve">developments in the area, including Victoria Road, Wharf Road, </w:t>
      </w:r>
      <w:r w:rsidR="00D30585">
        <w:rPr>
          <w:rFonts w:ascii="Arial" w:hAnsi="Arial"/>
          <w:sz w:val="22"/>
          <w:szCs w:val="22"/>
          <w:u w:val="none"/>
        </w:rPr>
        <w:t>Pearson Street, and</w:t>
      </w:r>
      <w:r>
        <w:rPr>
          <w:rFonts w:ascii="Arial" w:hAnsi="Arial"/>
          <w:sz w:val="22"/>
          <w:szCs w:val="22"/>
          <w:u w:val="none"/>
        </w:rPr>
        <w:t xml:space="preserve"> Coulter Street.</w:t>
      </w:r>
    </w:p>
    <w:p w14:paraId="11414C88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</w:rPr>
      </w:pPr>
    </w:p>
    <w:p w14:paraId="1121B156" w14:textId="77777777" w:rsidR="00984EC1" w:rsidRPr="006B29E5" w:rsidRDefault="00145C51" w:rsidP="00AD4F84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Hunters Hill Council’s </w:t>
      </w:r>
      <w:r w:rsidR="006B29E5">
        <w:rPr>
          <w:rFonts w:ascii="Arial" w:hAnsi="Arial"/>
          <w:sz w:val="22"/>
          <w:szCs w:val="22"/>
        </w:rPr>
        <w:t>Conflict of Interest</w:t>
      </w:r>
    </w:p>
    <w:p w14:paraId="549CDEFF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2123C3AA" w14:textId="77777777" w:rsidR="00822F62" w:rsidRDefault="0068449A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I am aware that the Council stands to receive many millions of dolla</w:t>
      </w:r>
      <w:r w:rsidR="00CF7A0E">
        <w:rPr>
          <w:rFonts w:ascii="Arial" w:hAnsi="Arial"/>
          <w:sz w:val="22"/>
          <w:szCs w:val="22"/>
          <w:u w:val="none"/>
        </w:rPr>
        <w:t>rs from the sale of land</w:t>
      </w:r>
      <w:r w:rsidR="00D83EC0">
        <w:rPr>
          <w:rFonts w:ascii="Arial" w:hAnsi="Arial"/>
          <w:sz w:val="22"/>
          <w:szCs w:val="22"/>
          <w:u w:val="none"/>
        </w:rPr>
        <w:t xml:space="preserve"> pursuant to option </w:t>
      </w:r>
      <w:proofErr w:type="gramStart"/>
      <w:r w:rsidR="00D83EC0">
        <w:rPr>
          <w:rFonts w:ascii="Arial" w:hAnsi="Arial"/>
          <w:sz w:val="22"/>
          <w:szCs w:val="22"/>
          <w:u w:val="none"/>
        </w:rPr>
        <w:t>contracts</w:t>
      </w:r>
      <w:r w:rsidRPr="006B29E5">
        <w:rPr>
          <w:rFonts w:ascii="Arial" w:hAnsi="Arial"/>
          <w:sz w:val="22"/>
          <w:szCs w:val="22"/>
          <w:u w:val="none"/>
        </w:rPr>
        <w:t xml:space="preserve"> </w:t>
      </w:r>
      <w:r w:rsidR="00D83EC0">
        <w:rPr>
          <w:rFonts w:ascii="Arial" w:hAnsi="Arial"/>
          <w:sz w:val="22"/>
          <w:szCs w:val="22"/>
          <w:u w:val="none"/>
        </w:rPr>
        <w:t>which</w:t>
      </w:r>
      <w:proofErr w:type="gramEnd"/>
      <w:r w:rsidR="00D83EC0">
        <w:rPr>
          <w:rFonts w:ascii="Arial" w:hAnsi="Arial"/>
          <w:sz w:val="22"/>
          <w:szCs w:val="22"/>
          <w:u w:val="none"/>
        </w:rPr>
        <w:t xml:space="preserve"> have been exchanged</w:t>
      </w:r>
      <w:r w:rsidR="00CF7A0E">
        <w:rPr>
          <w:rFonts w:ascii="Arial" w:hAnsi="Arial"/>
          <w:sz w:val="22"/>
          <w:szCs w:val="22"/>
          <w:u w:val="none"/>
        </w:rPr>
        <w:t xml:space="preserve"> with this</w:t>
      </w:r>
      <w:r w:rsidR="00ED31C6">
        <w:rPr>
          <w:rFonts w:ascii="Arial" w:hAnsi="Arial"/>
          <w:sz w:val="22"/>
          <w:szCs w:val="22"/>
          <w:u w:val="none"/>
        </w:rPr>
        <w:t xml:space="preserve"> developer</w:t>
      </w:r>
      <w:r w:rsidRPr="006B29E5">
        <w:rPr>
          <w:rFonts w:ascii="Arial" w:hAnsi="Arial"/>
          <w:sz w:val="22"/>
          <w:szCs w:val="22"/>
          <w:u w:val="none"/>
        </w:rPr>
        <w:t>.</w:t>
      </w:r>
      <w:r w:rsidR="00145C51">
        <w:rPr>
          <w:rFonts w:ascii="Arial" w:hAnsi="Arial"/>
          <w:sz w:val="22"/>
          <w:szCs w:val="22"/>
          <w:u w:val="none"/>
        </w:rPr>
        <w:t xml:space="preserve"> I am also aware that the Council of the Hunters Hill Municipality is under pressure to provide 500</w:t>
      </w:r>
      <w:r w:rsidR="00BE0179">
        <w:rPr>
          <w:rFonts w:ascii="Arial" w:hAnsi="Arial"/>
          <w:sz w:val="22"/>
          <w:szCs w:val="22"/>
          <w:u w:val="none"/>
        </w:rPr>
        <w:t xml:space="preserve"> to </w:t>
      </w:r>
      <w:r w:rsidR="00145C51">
        <w:rPr>
          <w:rFonts w:ascii="Arial" w:hAnsi="Arial"/>
          <w:sz w:val="22"/>
          <w:szCs w:val="22"/>
          <w:u w:val="none"/>
        </w:rPr>
        <w:t>600 new dwellings within its Local Government Area as a result of State Government directives, but</w:t>
      </w:r>
      <w:r w:rsidRPr="006B29E5">
        <w:rPr>
          <w:rFonts w:ascii="Arial" w:hAnsi="Arial"/>
          <w:sz w:val="22"/>
          <w:szCs w:val="22"/>
          <w:u w:val="none"/>
        </w:rPr>
        <w:t xml:space="preserve"> </w:t>
      </w:r>
      <w:r w:rsidR="00D30585">
        <w:rPr>
          <w:rFonts w:ascii="Arial" w:hAnsi="Arial"/>
          <w:sz w:val="22"/>
          <w:szCs w:val="22"/>
          <w:u w:val="none"/>
        </w:rPr>
        <w:t xml:space="preserve">I call on Hunters Hill Council </w:t>
      </w:r>
      <w:r w:rsidR="00145C51">
        <w:rPr>
          <w:rFonts w:ascii="Arial" w:hAnsi="Arial"/>
          <w:sz w:val="22"/>
          <w:szCs w:val="22"/>
          <w:u w:val="none"/>
        </w:rPr>
        <w:t xml:space="preserve">not </w:t>
      </w:r>
      <w:r w:rsidR="00D30585">
        <w:rPr>
          <w:rFonts w:ascii="Arial" w:hAnsi="Arial"/>
          <w:sz w:val="22"/>
          <w:szCs w:val="22"/>
          <w:u w:val="none"/>
        </w:rPr>
        <w:t xml:space="preserve">to </w:t>
      </w:r>
      <w:r w:rsidR="00145C51">
        <w:rPr>
          <w:rFonts w:ascii="Arial" w:hAnsi="Arial"/>
          <w:sz w:val="22"/>
          <w:szCs w:val="22"/>
          <w:u w:val="none"/>
        </w:rPr>
        <w:t xml:space="preserve">simply accept ‘any development’. </w:t>
      </w:r>
      <w:r w:rsidR="007D4F6C">
        <w:rPr>
          <w:rFonts w:ascii="Arial" w:hAnsi="Arial"/>
          <w:sz w:val="22"/>
          <w:szCs w:val="22"/>
          <w:u w:val="none"/>
        </w:rPr>
        <w:t>Just ‘a</w:t>
      </w:r>
      <w:r w:rsidR="00145C51">
        <w:rPr>
          <w:rFonts w:ascii="Arial" w:hAnsi="Arial"/>
          <w:sz w:val="22"/>
          <w:szCs w:val="22"/>
          <w:u w:val="none"/>
        </w:rPr>
        <w:t xml:space="preserve">ny development’ will not do. </w:t>
      </w:r>
    </w:p>
    <w:p w14:paraId="7416213A" w14:textId="77777777" w:rsidR="00822F62" w:rsidRDefault="00822F62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1005B16C" w14:textId="61C313E2" w:rsidR="0068449A" w:rsidRDefault="00145C5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The permanent and potentially</w:t>
      </w:r>
      <w:r w:rsidR="00BE0179">
        <w:rPr>
          <w:rFonts w:ascii="Arial" w:hAnsi="Arial"/>
          <w:sz w:val="22"/>
          <w:szCs w:val="22"/>
          <w:u w:val="none"/>
        </w:rPr>
        <w:t xml:space="preserve"> </w:t>
      </w:r>
      <w:r>
        <w:rPr>
          <w:rFonts w:ascii="Arial" w:hAnsi="Arial"/>
          <w:sz w:val="22"/>
          <w:szCs w:val="22"/>
          <w:u w:val="none"/>
        </w:rPr>
        <w:t xml:space="preserve">destructive impact </w:t>
      </w:r>
      <w:r w:rsidR="00822F62">
        <w:rPr>
          <w:rFonts w:ascii="Arial" w:hAnsi="Arial"/>
          <w:sz w:val="22"/>
          <w:szCs w:val="22"/>
          <w:u w:val="none"/>
        </w:rPr>
        <w:t>up</w:t>
      </w:r>
      <w:r>
        <w:rPr>
          <w:rFonts w:ascii="Arial" w:hAnsi="Arial"/>
          <w:sz w:val="22"/>
          <w:szCs w:val="22"/>
          <w:u w:val="none"/>
        </w:rPr>
        <w:t xml:space="preserve">on Gladesville of this development requires Hunters Hill Council </w:t>
      </w:r>
      <w:r w:rsidRPr="00BE0179">
        <w:rPr>
          <w:rFonts w:ascii="Arial" w:hAnsi="Arial"/>
          <w:sz w:val="22"/>
          <w:szCs w:val="22"/>
          <w:u w:val="none"/>
        </w:rPr>
        <w:t>n</w:t>
      </w:r>
      <w:r w:rsidR="0028013A" w:rsidRPr="00BE0179">
        <w:rPr>
          <w:rFonts w:ascii="Arial" w:hAnsi="Arial"/>
          <w:sz w:val="22"/>
          <w:szCs w:val="22"/>
          <w:u w:val="none"/>
        </w:rPr>
        <w:t>ot to be over-accommodating</w:t>
      </w:r>
      <w:r w:rsidR="0028013A">
        <w:rPr>
          <w:rFonts w:ascii="Arial" w:hAnsi="Arial"/>
          <w:sz w:val="22"/>
          <w:szCs w:val="22"/>
          <w:u w:val="none"/>
        </w:rPr>
        <w:t xml:space="preserve"> of</w:t>
      </w:r>
      <w:r>
        <w:rPr>
          <w:rFonts w:ascii="Arial" w:hAnsi="Arial"/>
          <w:sz w:val="22"/>
          <w:szCs w:val="22"/>
          <w:u w:val="none"/>
        </w:rPr>
        <w:t xml:space="preserve"> </w:t>
      </w:r>
      <w:r w:rsidR="0028013A">
        <w:rPr>
          <w:rFonts w:ascii="Arial" w:hAnsi="Arial"/>
          <w:sz w:val="22"/>
          <w:szCs w:val="22"/>
          <w:u w:val="none"/>
        </w:rPr>
        <w:t xml:space="preserve">cheap </w:t>
      </w:r>
      <w:r>
        <w:rPr>
          <w:rFonts w:ascii="Arial" w:hAnsi="Arial"/>
          <w:sz w:val="22"/>
          <w:szCs w:val="22"/>
          <w:u w:val="none"/>
        </w:rPr>
        <w:t>or</w:t>
      </w:r>
      <w:r w:rsidR="0028013A">
        <w:rPr>
          <w:rFonts w:ascii="Arial" w:hAnsi="Arial"/>
          <w:sz w:val="22"/>
          <w:szCs w:val="22"/>
          <w:u w:val="none"/>
        </w:rPr>
        <w:t xml:space="preserve"> low-quality design. The ‘low bar’ set for this site in the Development Control Plans adopted in 2010 and 2013 </w:t>
      </w:r>
      <w:r w:rsidR="00BE0179">
        <w:rPr>
          <w:rFonts w:ascii="Arial" w:hAnsi="Arial"/>
          <w:sz w:val="22"/>
          <w:szCs w:val="22"/>
          <w:u w:val="none"/>
        </w:rPr>
        <w:t xml:space="preserve">gives me </w:t>
      </w:r>
      <w:r w:rsidR="0028013A">
        <w:rPr>
          <w:rFonts w:ascii="Arial" w:hAnsi="Arial"/>
          <w:sz w:val="22"/>
          <w:szCs w:val="22"/>
          <w:u w:val="none"/>
        </w:rPr>
        <w:t xml:space="preserve">concern </w:t>
      </w:r>
      <w:r w:rsidR="007D4F6C">
        <w:rPr>
          <w:rFonts w:ascii="Arial" w:hAnsi="Arial"/>
          <w:sz w:val="22"/>
          <w:szCs w:val="22"/>
          <w:u w:val="none"/>
        </w:rPr>
        <w:t>that Hunters Hill Council’s fin</w:t>
      </w:r>
      <w:r w:rsidR="00975404">
        <w:rPr>
          <w:rFonts w:ascii="Arial" w:hAnsi="Arial"/>
          <w:sz w:val="22"/>
          <w:szCs w:val="22"/>
          <w:u w:val="none"/>
        </w:rPr>
        <w:t>ancial interest has motivated staff in the past</w:t>
      </w:r>
      <w:r w:rsidR="007D4F6C">
        <w:rPr>
          <w:rFonts w:ascii="Arial" w:hAnsi="Arial"/>
          <w:sz w:val="22"/>
          <w:szCs w:val="22"/>
          <w:u w:val="none"/>
        </w:rPr>
        <w:t xml:space="preserve"> to ensure that this development</w:t>
      </w:r>
      <w:r w:rsidR="000C4037">
        <w:rPr>
          <w:rFonts w:ascii="Arial" w:hAnsi="Arial"/>
          <w:sz w:val="22"/>
          <w:szCs w:val="22"/>
          <w:u w:val="none"/>
        </w:rPr>
        <w:t xml:space="preserve"> can ‘tick boxes’, irrespective</w:t>
      </w:r>
      <w:r w:rsidR="007D4F6C">
        <w:rPr>
          <w:rFonts w:ascii="Arial" w:hAnsi="Arial"/>
          <w:sz w:val="22"/>
          <w:szCs w:val="22"/>
          <w:u w:val="none"/>
        </w:rPr>
        <w:t xml:space="preserve"> of the longer-term and broader </w:t>
      </w:r>
      <w:r w:rsidR="00313774">
        <w:rPr>
          <w:rFonts w:ascii="Arial" w:hAnsi="Arial"/>
          <w:sz w:val="22"/>
          <w:szCs w:val="22"/>
          <w:u w:val="none"/>
        </w:rPr>
        <w:t>public in</w:t>
      </w:r>
      <w:r w:rsidR="00251CED">
        <w:rPr>
          <w:rFonts w:ascii="Arial" w:hAnsi="Arial"/>
          <w:sz w:val="22"/>
          <w:szCs w:val="22"/>
          <w:u w:val="none"/>
        </w:rPr>
        <w:t>terest. I hope that the</w:t>
      </w:r>
      <w:r w:rsidR="00975404">
        <w:rPr>
          <w:rFonts w:ascii="Arial" w:hAnsi="Arial"/>
          <w:sz w:val="22"/>
          <w:szCs w:val="22"/>
          <w:u w:val="none"/>
        </w:rPr>
        <w:t xml:space="preserve"> </w:t>
      </w:r>
      <w:r w:rsidR="00251CED">
        <w:rPr>
          <w:rFonts w:ascii="Arial" w:hAnsi="Arial"/>
          <w:sz w:val="22"/>
          <w:szCs w:val="22"/>
          <w:u w:val="none"/>
        </w:rPr>
        <w:t xml:space="preserve">forthcoming actions of the current </w:t>
      </w:r>
      <w:r w:rsidR="00975404">
        <w:rPr>
          <w:rFonts w:ascii="Arial" w:hAnsi="Arial"/>
          <w:sz w:val="22"/>
          <w:szCs w:val="22"/>
          <w:u w:val="none"/>
        </w:rPr>
        <w:t>Councilors</w:t>
      </w:r>
      <w:r w:rsidR="00251CED">
        <w:rPr>
          <w:rFonts w:ascii="Arial" w:hAnsi="Arial"/>
          <w:sz w:val="22"/>
          <w:szCs w:val="22"/>
          <w:u w:val="none"/>
        </w:rPr>
        <w:t xml:space="preserve"> of Hunters Hill</w:t>
      </w:r>
      <w:r w:rsidR="00313774">
        <w:rPr>
          <w:rFonts w:ascii="Arial" w:hAnsi="Arial"/>
          <w:sz w:val="22"/>
          <w:szCs w:val="22"/>
          <w:u w:val="none"/>
        </w:rPr>
        <w:t xml:space="preserve"> </w:t>
      </w:r>
      <w:r w:rsidR="00251CED">
        <w:rPr>
          <w:rFonts w:ascii="Arial" w:hAnsi="Arial"/>
          <w:sz w:val="22"/>
          <w:szCs w:val="22"/>
          <w:u w:val="none"/>
        </w:rPr>
        <w:t>will</w:t>
      </w:r>
      <w:r w:rsidR="00BE0179">
        <w:rPr>
          <w:rFonts w:ascii="Arial" w:hAnsi="Arial"/>
          <w:sz w:val="22"/>
          <w:szCs w:val="22"/>
          <w:u w:val="none"/>
        </w:rPr>
        <w:t xml:space="preserve"> </w:t>
      </w:r>
      <w:r w:rsidR="00313774">
        <w:rPr>
          <w:rFonts w:ascii="Arial" w:hAnsi="Arial"/>
          <w:sz w:val="22"/>
          <w:szCs w:val="22"/>
          <w:u w:val="none"/>
        </w:rPr>
        <w:t>provide reassurance</w:t>
      </w:r>
      <w:r w:rsidR="007D4F6C">
        <w:rPr>
          <w:rFonts w:ascii="Arial" w:hAnsi="Arial"/>
          <w:sz w:val="22"/>
          <w:szCs w:val="22"/>
          <w:u w:val="none"/>
        </w:rPr>
        <w:t xml:space="preserve"> that responsible development doe</w:t>
      </w:r>
      <w:r w:rsidR="00313774">
        <w:rPr>
          <w:rFonts w:ascii="Arial" w:hAnsi="Arial"/>
          <w:sz w:val="22"/>
          <w:szCs w:val="22"/>
          <w:u w:val="none"/>
        </w:rPr>
        <w:t>s matter,</w:t>
      </w:r>
      <w:r w:rsidR="007D4F6C">
        <w:rPr>
          <w:rFonts w:ascii="Arial" w:hAnsi="Arial"/>
          <w:sz w:val="22"/>
          <w:szCs w:val="22"/>
          <w:u w:val="none"/>
        </w:rPr>
        <w:t xml:space="preserve"> in 2013.</w:t>
      </w:r>
      <w:bookmarkStart w:id="0" w:name="_GoBack"/>
      <w:bookmarkEnd w:id="0"/>
    </w:p>
    <w:p w14:paraId="45743FBF" w14:textId="77777777" w:rsidR="00ED31C6" w:rsidRDefault="00ED31C6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17BE4F1E" w14:textId="77777777" w:rsidR="00ED31C6" w:rsidRPr="006B29E5" w:rsidRDefault="00ED31C6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>This near-$100M development in Gladesville will be the largest permitte</w:t>
      </w:r>
      <w:r w:rsidR="006222E0">
        <w:rPr>
          <w:rFonts w:ascii="Arial" w:hAnsi="Arial"/>
          <w:sz w:val="22"/>
          <w:szCs w:val="22"/>
          <w:u w:val="none"/>
        </w:rPr>
        <w:t xml:space="preserve">d under Hunters Hill Council’s </w:t>
      </w:r>
      <w:r>
        <w:rPr>
          <w:rFonts w:ascii="Arial" w:hAnsi="Arial"/>
          <w:sz w:val="22"/>
          <w:szCs w:val="22"/>
          <w:u w:val="none"/>
        </w:rPr>
        <w:t>Local Environment Plan</w:t>
      </w:r>
      <w:r w:rsidR="006222E0">
        <w:rPr>
          <w:rFonts w:ascii="Arial" w:hAnsi="Arial"/>
          <w:sz w:val="22"/>
          <w:szCs w:val="22"/>
          <w:u w:val="none"/>
        </w:rPr>
        <w:t xml:space="preserve"> 2012</w:t>
      </w:r>
      <w:r>
        <w:rPr>
          <w:rFonts w:ascii="Arial" w:hAnsi="Arial"/>
          <w:sz w:val="22"/>
          <w:szCs w:val="22"/>
          <w:u w:val="none"/>
        </w:rPr>
        <w:t>, and arguably the most significant single local event for this generation and beyond. The Mayor and Councilors</w:t>
      </w:r>
      <w:r w:rsidR="00274171">
        <w:rPr>
          <w:rFonts w:ascii="Arial" w:hAnsi="Arial"/>
          <w:sz w:val="22"/>
          <w:szCs w:val="22"/>
          <w:u w:val="none"/>
        </w:rPr>
        <w:t xml:space="preserve"> of Hunters Hill </w:t>
      </w:r>
      <w:r>
        <w:rPr>
          <w:rFonts w:ascii="Arial" w:hAnsi="Arial"/>
          <w:sz w:val="22"/>
          <w:szCs w:val="22"/>
          <w:u w:val="none"/>
        </w:rPr>
        <w:t xml:space="preserve">should be proud for this development to be the </w:t>
      </w:r>
      <w:r w:rsidRPr="00ED31C6">
        <w:rPr>
          <w:rFonts w:ascii="Arial" w:hAnsi="Arial"/>
          <w:b/>
          <w:sz w:val="22"/>
          <w:szCs w:val="22"/>
        </w:rPr>
        <w:t>legacy for which they will be remembered</w:t>
      </w:r>
      <w:r>
        <w:rPr>
          <w:rFonts w:ascii="Arial" w:hAnsi="Arial"/>
          <w:sz w:val="22"/>
          <w:szCs w:val="22"/>
          <w:u w:val="none"/>
        </w:rPr>
        <w:t>.</w:t>
      </w:r>
    </w:p>
    <w:p w14:paraId="7AEDE55F" w14:textId="77777777" w:rsidR="00942E3E" w:rsidRPr="006B29E5" w:rsidRDefault="00942E3E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1385658D" w14:textId="77777777" w:rsidR="00942E3E" w:rsidRPr="006B29E5" w:rsidRDefault="00942E3E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7F958565" w14:textId="77777777" w:rsidR="00942E3E" w:rsidRPr="006B29E5" w:rsidRDefault="00942E3E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Yours faithfully,</w:t>
      </w:r>
    </w:p>
    <w:p w14:paraId="262B7638" w14:textId="77777777" w:rsidR="00942E3E" w:rsidRPr="006B29E5" w:rsidRDefault="00942E3E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6C630600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2DEA2F07" w14:textId="77777777" w:rsidR="00942E3E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…………………………………….</w:t>
      </w:r>
    </w:p>
    <w:p w14:paraId="0C1AF14B" w14:textId="77777777" w:rsidR="00984EC1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</w:p>
    <w:p w14:paraId="00A7843F" w14:textId="77777777" w:rsidR="00942E3E" w:rsidRPr="006B29E5" w:rsidRDefault="00984EC1" w:rsidP="00AD4F84">
      <w:pPr>
        <w:spacing w:line="276" w:lineRule="auto"/>
        <w:rPr>
          <w:rFonts w:ascii="Arial" w:hAnsi="Arial"/>
          <w:sz w:val="22"/>
          <w:szCs w:val="22"/>
          <w:u w:val="none"/>
        </w:rPr>
      </w:pPr>
      <w:r w:rsidRPr="006B29E5">
        <w:rPr>
          <w:rFonts w:ascii="Arial" w:hAnsi="Arial"/>
          <w:sz w:val="22"/>
          <w:szCs w:val="22"/>
          <w:u w:val="none"/>
        </w:rPr>
        <w:t>…………………………………….</w:t>
      </w:r>
    </w:p>
    <w:sectPr w:rsidR="00942E3E" w:rsidRPr="006B29E5" w:rsidSect="00FE08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9A"/>
    <w:rsid w:val="000C4037"/>
    <w:rsid w:val="000F19B4"/>
    <w:rsid w:val="00145C51"/>
    <w:rsid w:val="00172871"/>
    <w:rsid w:val="001B200C"/>
    <w:rsid w:val="00251CED"/>
    <w:rsid w:val="00274171"/>
    <w:rsid w:val="0028013A"/>
    <w:rsid w:val="00313774"/>
    <w:rsid w:val="00333031"/>
    <w:rsid w:val="00375F9A"/>
    <w:rsid w:val="003F259B"/>
    <w:rsid w:val="004C1FA7"/>
    <w:rsid w:val="006222E0"/>
    <w:rsid w:val="0068449A"/>
    <w:rsid w:val="006B29E5"/>
    <w:rsid w:val="006B5204"/>
    <w:rsid w:val="006D1AED"/>
    <w:rsid w:val="006D5275"/>
    <w:rsid w:val="007D4F6C"/>
    <w:rsid w:val="00822F62"/>
    <w:rsid w:val="00852748"/>
    <w:rsid w:val="009317D3"/>
    <w:rsid w:val="00942E3E"/>
    <w:rsid w:val="00975404"/>
    <w:rsid w:val="00984EC1"/>
    <w:rsid w:val="00997435"/>
    <w:rsid w:val="009E1330"/>
    <w:rsid w:val="00AD4F84"/>
    <w:rsid w:val="00B04684"/>
    <w:rsid w:val="00BE0179"/>
    <w:rsid w:val="00CB1E5A"/>
    <w:rsid w:val="00CB34E8"/>
    <w:rsid w:val="00CF7A0E"/>
    <w:rsid w:val="00D30585"/>
    <w:rsid w:val="00D83EC0"/>
    <w:rsid w:val="00DC1374"/>
    <w:rsid w:val="00DD2E8B"/>
    <w:rsid w:val="00E3455D"/>
    <w:rsid w:val="00E52E3A"/>
    <w:rsid w:val="00E56F4A"/>
    <w:rsid w:val="00ED31C6"/>
    <w:rsid w:val="00F21D82"/>
    <w:rsid w:val="00F91351"/>
    <w:rsid w:val="00FB42F2"/>
    <w:rsid w:val="00FE082B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CD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ajorBidi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2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E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E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E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E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4A043-036D-714F-B1CB-6BDC4F5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710</Words>
  <Characters>3984</Characters>
  <Application>Microsoft Macintosh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Russ Young</cp:lastModifiedBy>
  <cp:revision>7</cp:revision>
  <cp:lastPrinted>2013-10-27T09:42:00Z</cp:lastPrinted>
  <dcterms:created xsi:type="dcterms:W3CDTF">2013-10-27T09:27:00Z</dcterms:created>
  <dcterms:modified xsi:type="dcterms:W3CDTF">2013-10-27T10:09:00Z</dcterms:modified>
  <cp:category/>
</cp:coreProperties>
</file>